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C0139" w:rsidR="003C0139" w:rsidP="2679693E" w:rsidRDefault="003C0139" w14:paraId="5C9A51ED" w14:textId="77777777" w14:noSpellErr="1">
      <w:pPr>
        <w:pStyle w:val="Heading1"/>
        <w:jc w:val="center"/>
        <w:rPr>
          <w:rFonts w:ascii="Calibri Light" w:hAnsi="Calibri Light" w:eastAsia="" w:cs=""/>
          <w:b w:val="1"/>
          <w:bCs w:val="1"/>
          <w:color w:val="auto"/>
          <w:sz w:val="32"/>
          <w:szCs w:val="32"/>
        </w:rPr>
      </w:pPr>
      <w:bookmarkStart w:name="_Toc72909652" w:id="0"/>
      <w:r w:rsidRPr="2679693E" w:rsidR="2679693E">
        <w:rPr>
          <w:color w:val="auto"/>
        </w:rPr>
        <w:t xml:space="preserve">Example of a Reasonable Accommodation Policy </w:t>
      </w:r>
      <w:bookmarkEnd w:id="0"/>
    </w:p>
    <w:p w:rsidR="2D549895" w:rsidP="2D549895" w:rsidRDefault="2D549895" w14:paraId="5860CDC3" w14:textId="25E67833">
      <w:pPr>
        <w:pStyle w:val="Normal"/>
        <w:rPr>
          <w:rFonts w:ascii="Times New Roman" w:hAnsi="Times New Roman" w:eastAsia="Times New Roman" w:cs="Times New Roman"/>
        </w:rPr>
      </w:pPr>
    </w:p>
    <w:p w:rsidRPr="00D15661" w:rsidR="003C0139" w:rsidP="003C0139" w:rsidRDefault="003C0139" w14:paraId="2745E5FD" w14:textId="77777777">
      <w:pPr>
        <w:rPr>
          <w:rFonts w:asciiTheme="minorHAnsi" w:hAnsiTheme="minorHAnsi" w:eastAsiaTheme="minorEastAsia" w:cstheme="minorHAnsi"/>
          <w:i/>
          <w:iCs/>
          <w:sz w:val="22"/>
          <w:szCs w:val="22"/>
        </w:rPr>
      </w:pPr>
      <w:r w:rsidRPr="00D15661">
        <w:rPr>
          <w:rFonts w:asciiTheme="minorHAnsi" w:hAnsiTheme="minorHAnsi" w:eastAsiaTheme="minorEastAsia" w:cstheme="minorHAnsi"/>
          <w:i/>
          <w:iCs/>
          <w:sz w:val="22"/>
          <w:szCs w:val="22"/>
        </w:rPr>
        <w:t>The example below is one way to approach a reasonable accommodation policy</w:t>
      </w:r>
      <w:r>
        <w:rPr>
          <w:rFonts w:asciiTheme="minorHAnsi" w:hAnsiTheme="minorHAnsi" w:eastAsiaTheme="minorEastAsia" w:cstheme="minorHAnsi"/>
          <w:i/>
          <w:iCs/>
          <w:sz w:val="22"/>
          <w:szCs w:val="22"/>
        </w:rPr>
        <w:t>.</w:t>
      </w:r>
      <w:r w:rsidRPr="00D15661">
        <w:rPr>
          <w:rFonts w:asciiTheme="minorHAnsi" w:hAnsiTheme="minorHAnsi" w:eastAsiaTheme="minorEastAsia" w:cstheme="minorHAnsi"/>
          <w:i/>
          <w:iCs/>
          <w:sz w:val="22"/>
          <w:szCs w:val="22"/>
        </w:rPr>
        <w:t xml:space="preserve"> It provides the rationale, identifies the responsible parties, connects it to associated processes and procedures, and highlights the important documents involved in policy implementation. This is just one example of how to author a policy and content may vary depending on the nature of the policy issue and the individual style of the institution. </w:t>
      </w:r>
    </w:p>
    <w:p w:rsidR="003C0139" w:rsidRDefault="003C0139" w14:paraId="3F94DC2C" w14:textId="374EB48E">
      <w:pPr>
        <w:rPr>
          <w:rFonts w:asciiTheme="minorHAnsi" w:hAnsiTheme="minorHAnsi" w:eastAsiaTheme="minorEastAsia" w:cstheme="minorHAnsi"/>
          <w:sz w:val="22"/>
          <w:szCs w:val="22"/>
        </w:rPr>
      </w:pPr>
      <w:r>
        <w:rPr>
          <w:rFonts w:asciiTheme="minorHAnsi" w:hAnsiTheme="minorHAnsi" w:eastAsiaTheme="minorEastAsia" w:cstheme="minorHAnsi"/>
          <w:sz w:val="22"/>
          <w:szCs w:val="22"/>
        </w:rPr>
        <w:br w:type="page"/>
      </w:r>
    </w:p>
    <w:p w:rsidRPr="00D15661" w:rsidR="003C0139" w:rsidP="003C0139" w:rsidRDefault="003C0139" w14:paraId="61716A39" w14:textId="77777777">
      <w:pPr>
        <w:rPr>
          <w:rFonts w:asciiTheme="minorHAnsi" w:hAnsiTheme="minorHAnsi" w:eastAsiaTheme="minorEastAsia" w:cstheme="minorHAnsi"/>
          <w:sz w:val="22"/>
          <w:szCs w:val="22"/>
        </w:rPr>
      </w:pPr>
    </w:p>
    <w:p w:rsidRPr="00D15661" w:rsidR="003C0139" w:rsidP="2D549895" w:rsidRDefault="003C0139" w14:paraId="4CCF65D7" w14:textId="77777777" w14:noSpellErr="1">
      <w:pPr>
        <w:pStyle w:val="Heading3"/>
        <w:rPr>
          <w:rFonts w:ascii="Calibri" w:hAnsi="Calibri" w:eastAsia="" w:cs="Calibri" w:asciiTheme="minorAscii" w:hAnsiTheme="minorAscii" w:eastAsiaTheme="minorEastAsia" w:cstheme="minorAscii"/>
          <w:b w:val="1"/>
          <w:bCs w:val="1"/>
          <w:color w:val="auto"/>
          <w:sz w:val="22"/>
          <w:szCs w:val="22"/>
        </w:rPr>
      </w:pPr>
      <w:bookmarkStart w:name="_Toc72909420" w:id="1"/>
      <w:bookmarkStart w:name="_Toc72909653" w:id="2"/>
      <w:r w:rsidRPr="2D549895" w:rsidR="2D549895">
        <w:rPr>
          <w:rFonts w:ascii="Calibri" w:hAnsi="Calibri" w:eastAsia="" w:cs="Calibri" w:asciiTheme="minorAscii" w:hAnsiTheme="minorAscii" w:eastAsiaTheme="minorEastAsia" w:cstheme="minorAscii"/>
          <w:b w:val="1"/>
          <w:bCs w:val="1"/>
          <w:color w:val="auto"/>
          <w:sz w:val="22"/>
          <w:szCs w:val="22"/>
        </w:rPr>
        <w:t>Policy Statement and Reason for Policy:</w:t>
      </w:r>
      <w:bookmarkEnd w:id="1"/>
      <w:bookmarkEnd w:id="2"/>
    </w:p>
    <w:p w:rsidRPr="00D15661" w:rsidR="003C0139" w:rsidP="2D549895" w:rsidRDefault="003C0139" w14:paraId="4B82CB7C" w14:textId="4B639F39">
      <w:pPr>
        <w:ind w:left="720"/>
        <w:rPr>
          <w:rFonts w:ascii="Calibri" w:hAnsi="Calibri" w:eastAsia="" w:cs="Calibri" w:asciiTheme="minorAscii" w:hAnsiTheme="minorAscii" w:eastAsiaTheme="minorEastAsia" w:cstheme="minorAscii"/>
          <w:sz w:val="22"/>
          <w:szCs w:val="22"/>
        </w:rPr>
      </w:pPr>
      <w:r w:rsidRPr="2D549895" w:rsidR="2D549895">
        <w:rPr>
          <w:rFonts w:ascii="Calibri" w:hAnsi="Calibri" w:eastAsia="" w:cs="Calibri" w:asciiTheme="minorAscii" w:hAnsiTheme="minorAscii" w:eastAsiaTheme="minorEastAsia" w:cstheme="minorAscii"/>
          <w:sz w:val="22"/>
          <w:szCs w:val="22"/>
        </w:rPr>
        <w:t>(</w:t>
      </w:r>
      <w:r w:rsidRPr="2D549895" w:rsidR="2D549895">
        <w:rPr>
          <w:rFonts w:ascii="Calibri" w:hAnsi="Calibri" w:eastAsia="" w:cs="Calibri" w:asciiTheme="minorAscii" w:hAnsiTheme="minorAscii" w:eastAsiaTheme="minorEastAsia" w:cstheme="minorAscii"/>
          <w:i w:val="1"/>
          <w:iCs w:val="1"/>
          <w:sz w:val="22"/>
          <w:szCs w:val="22"/>
        </w:rPr>
        <w:t>IHE</w:t>
      </w:r>
      <w:r w:rsidRPr="2D549895" w:rsidR="2D549895">
        <w:rPr>
          <w:rFonts w:ascii="Calibri" w:hAnsi="Calibri" w:eastAsia="" w:cs="Calibri" w:asciiTheme="minorAscii" w:hAnsiTheme="minorAscii" w:eastAsiaTheme="minorEastAsia" w:cstheme="minorAscii"/>
          <w:sz w:val="22"/>
          <w:szCs w:val="22"/>
        </w:rPr>
        <w:t>) is committed to complying fully with the Americans with Disabilities Act Amendments Act (ADAAA), Section 504 of The Rehabilitation Act and other applicable federal, state, and local laws to ensure equal access for qualified persons with disabilities to all programs and services by providing reasonable accommodations. (Job Accommodation Network, 2013). Students with physical, medical, psychiatric, and learning disabilities are eligible to utilize the Disability Services Office to arrange for reasonable accommodations and seek ongoing support at any point in their academic career. Students interested in receiving accommodations must initiate the interactive process to engage with the appropriate accommodation process.</w:t>
      </w:r>
    </w:p>
    <w:p w:rsidR="2D549895" w:rsidP="2D549895" w:rsidRDefault="2D549895" w14:paraId="4DF04E74" w14:textId="0A31DF02">
      <w:pPr>
        <w:pStyle w:val="Heading3"/>
        <w:rPr>
          <w:rFonts w:ascii="Calibri" w:hAnsi="Calibri" w:eastAsia="" w:cs="Calibri" w:asciiTheme="minorAscii" w:hAnsiTheme="minorAscii" w:eastAsiaTheme="minorEastAsia" w:cstheme="minorAscii"/>
          <w:color w:val="auto"/>
          <w:sz w:val="22"/>
          <w:szCs w:val="22"/>
        </w:rPr>
      </w:pPr>
    </w:p>
    <w:p w:rsidRPr="00D15661" w:rsidR="003C0139" w:rsidP="2D549895" w:rsidRDefault="003C0139" w14:paraId="73C540D7" w14:textId="77777777" w14:noSpellErr="1">
      <w:pPr>
        <w:pStyle w:val="Heading3"/>
        <w:rPr>
          <w:rFonts w:ascii="Calibri" w:hAnsi="Calibri" w:eastAsia="" w:cs="Calibri" w:asciiTheme="minorAscii" w:hAnsiTheme="minorAscii" w:eastAsiaTheme="minorEastAsia" w:cstheme="minorAscii"/>
          <w:b w:val="1"/>
          <w:bCs w:val="1"/>
          <w:color w:val="auto"/>
          <w:sz w:val="22"/>
          <w:szCs w:val="22"/>
        </w:rPr>
      </w:pPr>
      <w:bookmarkStart w:name="_Toc72909421" w:id="3"/>
      <w:bookmarkStart w:name="_Toc72909654" w:id="4"/>
      <w:r w:rsidRPr="2D549895" w:rsidR="2D549895">
        <w:rPr>
          <w:rFonts w:ascii="Calibri" w:hAnsi="Calibri" w:eastAsia="" w:cs="Calibri" w:asciiTheme="minorAscii" w:hAnsiTheme="minorAscii" w:eastAsiaTheme="minorEastAsia" w:cstheme="minorAscii"/>
          <w:b w:val="1"/>
          <w:bCs w:val="1"/>
          <w:color w:val="auto"/>
          <w:sz w:val="22"/>
          <w:szCs w:val="22"/>
        </w:rPr>
        <w:t>Scope and Audience:</w:t>
      </w:r>
      <w:bookmarkEnd w:id="3"/>
      <w:bookmarkEnd w:id="4"/>
      <w:r w:rsidRPr="2D549895" w:rsidR="2D549895">
        <w:rPr>
          <w:rFonts w:ascii="Calibri" w:hAnsi="Calibri" w:eastAsia="" w:cs="Calibri" w:asciiTheme="minorAscii" w:hAnsiTheme="minorAscii" w:eastAsiaTheme="minorEastAsia" w:cstheme="minorAscii"/>
          <w:b w:val="1"/>
          <w:bCs w:val="1"/>
          <w:color w:val="auto"/>
          <w:sz w:val="22"/>
          <w:szCs w:val="22"/>
        </w:rPr>
        <w:t xml:space="preserve"> </w:t>
      </w:r>
    </w:p>
    <w:p w:rsidRPr="00D15661" w:rsidR="003C0139" w:rsidP="2D549895" w:rsidRDefault="003C0139" w14:paraId="71556E6A" w14:textId="2CD775F8">
      <w:pPr>
        <w:pStyle w:val="Normal"/>
        <w:ind w:left="720"/>
        <w:rPr>
          <w:rFonts w:ascii="Calibri" w:hAnsi="Calibri" w:eastAsia="" w:cs="Calibri" w:asciiTheme="minorAscii" w:hAnsiTheme="minorAscii" w:eastAsiaTheme="minorEastAsia" w:cstheme="minorAscii"/>
          <w:sz w:val="22"/>
          <w:szCs w:val="22"/>
        </w:rPr>
      </w:pPr>
      <w:r w:rsidRPr="2D549895" w:rsidR="2D549895">
        <w:rPr>
          <w:rFonts w:ascii="Calibri" w:hAnsi="Calibri" w:eastAsia="" w:cs="Calibri" w:asciiTheme="minorAscii" w:hAnsiTheme="minorAscii" w:eastAsiaTheme="minorEastAsia" w:cstheme="minorAscii"/>
          <w:sz w:val="22"/>
          <w:szCs w:val="22"/>
        </w:rPr>
        <w:t>The Reasonable Accommodations policy applies to all participants in (</w:t>
      </w:r>
      <w:r w:rsidRPr="2D549895" w:rsidR="2D549895">
        <w:rPr>
          <w:rFonts w:ascii="Calibri" w:hAnsi="Calibri" w:eastAsia="" w:cs="Calibri" w:asciiTheme="minorAscii" w:hAnsiTheme="minorAscii" w:eastAsiaTheme="minorEastAsia" w:cstheme="minorAscii"/>
          <w:i w:val="1"/>
          <w:iCs w:val="1"/>
          <w:sz w:val="22"/>
          <w:szCs w:val="22"/>
        </w:rPr>
        <w:t>IHE</w:t>
      </w:r>
      <w:r w:rsidRPr="2D549895" w:rsidR="2D549895">
        <w:rPr>
          <w:rFonts w:ascii="Calibri" w:hAnsi="Calibri" w:eastAsia="" w:cs="Calibri" w:asciiTheme="minorAscii" w:hAnsiTheme="minorAscii" w:eastAsiaTheme="minorEastAsia" w:cstheme="minorAscii"/>
          <w:sz w:val="22"/>
          <w:szCs w:val="22"/>
        </w:rPr>
        <w:t>)’s programs and services. It is the responsibility of all (</w:t>
      </w:r>
      <w:r w:rsidRPr="2D549895" w:rsidR="2D549895">
        <w:rPr>
          <w:rFonts w:ascii="Calibri" w:hAnsi="Calibri" w:eastAsia="" w:cs="Calibri" w:asciiTheme="minorAscii" w:hAnsiTheme="minorAscii" w:eastAsiaTheme="minorEastAsia" w:cstheme="minorAscii"/>
          <w:i w:val="1"/>
          <w:iCs w:val="1"/>
          <w:sz w:val="22"/>
          <w:szCs w:val="22"/>
        </w:rPr>
        <w:t>IHE</w:t>
      </w:r>
      <w:r w:rsidRPr="2D549895" w:rsidR="2D549895">
        <w:rPr>
          <w:rFonts w:ascii="Calibri" w:hAnsi="Calibri" w:eastAsia="" w:cs="Calibri" w:asciiTheme="minorAscii" w:hAnsiTheme="minorAscii" w:eastAsiaTheme="minorEastAsia" w:cstheme="minorAscii"/>
          <w:sz w:val="22"/>
          <w:szCs w:val="22"/>
        </w:rPr>
        <w:t xml:space="preserve">) faculty and staff to adhere to the reasonable accommodations policy to ensure equal access to programs and services available to students. </w:t>
      </w:r>
    </w:p>
    <w:p w:rsidRPr="00D15661" w:rsidR="003C0139" w:rsidP="003C0139" w:rsidRDefault="003C0139" w14:paraId="7579D184" w14:textId="77777777">
      <w:pPr>
        <w:pStyle w:val="ListParagraph"/>
        <w:numPr>
          <w:ilvl w:val="0"/>
          <w:numId w:val="2"/>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Academic Affairs</w:t>
      </w:r>
    </w:p>
    <w:p w:rsidRPr="00D15661" w:rsidR="003C0139" w:rsidP="003C0139" w:rsidRDefault="003C0139" w14:paraId="5D679C47" w14:textId="77777777">
      <w:pPr>
        <w:pStyle w:val="ListParagraph"/>
        <w:numPr>
          <w:ilvl w:val="0"/>
          <w:numId w:val="2"/>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Housing and Residential Life</w:t>
      </w:r>
    </w:p>
    <w:p w:rsidRPr="00D15661" w:rsidR="003C0139" w:rsidP="003C0139" w:rsidRDefault="003C0139" w14:paraId="6AE33C36" w14:textId="77777777">
      <w:pPr>
        <w:pStyle w:val="ListParagraph"/>
        <w:numPr>
          <w:ilvl w:val="0"/>
          <w:numId w:val="2"/>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Technology Services</w:t>
      </w:r>
    </w:p>
    <w:p w:rsidRPr="00D15661" w:rsidR="003C0139" w:rsidP="003C0139" w:rsidRDefault="003C0139" w14:paraId="2A89DD74" w14:textId="77777777">
      <w:pPr>
        <w:pStyle w:val="ListParagraph"/>
        <w:numPr>
          <w:ilvl w:val="0"/>
          <w:numId w:val="2"/>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Facilities/Physical Plant</w:t>
      </w:r>
    </w:p>
    <w:p w:rsidRPr="00D15661" w:rsidR="003C0139" w:rsidP="003C0139" w:rsidRDefault="003C0139" w14:paraId="06016C1B" w14:textId="77777777">
      <w:pPr>
        <w:pStyle w:val="ListParagraph"/>
        <w:numPr>
          <w:ilvl w:val="0"/>
          <w:numId w:val="2"/>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Food Services</w:t>
      </w:r>
    </w:p>
    <w:p w:rsidRPr="00D15661" w:rsidR="003C0139" w:rsidP="003C0139" w:rsidRDefault="003C0139" w14:paraId="7F9D0DCA" w14:textId="77777777">
      <w:pPr>
        <w:pStyle w:val="ListParagraph"/>
        <w:numPr>
          <w:ilvl w:val="0"/>
          <w:numId w:val="2"/>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Library Services</w:t>
      </w:r>
    </w:p>
    <w:p w:rsidRPr="00D15661" w:rsidR="003C0139" w:rsidP="003C0139" w:rsidRDefault="003C0139" w14:paraId="4726F13F" w14:textId="77777777">
      <w:pPr>
        <w:pStyle w:val="ListParagraph"/>
        <w:numPr>
          <w:ilvl w:val="0"/>
          <w:numId w:val="2"/>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 xml:space="preserve">Parking and Transportation Services </w:t>
      </w:r>
    </w:p>
    <w:p w:rsidRPr="00D15661" w:rsidR="003C0139" w:rsidP="2D549895" w:rsidRDefault="003C0139" w14:paraId="3C01E942" w14:textId="77777777" w14:noSpellErr="1">
      <w:pPr>
        <w:pStyle w:val="Heading3"/>
        <w:rPr>
          <w:rFonts w:ascii="Calibri" w:hAnsi="Calibri" w:eastAsia="" w:cs="Calibri" w:asciiTheme="minorAscii" w:hAnsiTheme="minorAscii" w:eastAsiaTheme="minorEastAsia" w:cstheme="minorAscii"/>
          <w:b w:val="1"/>
          <w:bCs w:val="1"/>
          <w:color w:val="auto"/>
          <w:sz w:val="22"/>
          <w:szCs w:val="22"/>
        </w:rPr>
      </w:pPr>
      <w:bookmarkStart w:name="_Toc72909422" w:id="5"/>
      <w:bookmarkStart w:name="_Toc72909655" w:id="6"/>
      <w:r w:rsidRPr="2D549895" w:rsidR="2D549895">
        <w:rPr>
          <w:rFonts w:ascii="Calibri" w:hAnsi="Calibri" w:eastAsia="" w:cs="Calibri" w:asciiTheme="minorAscii" w:hAnsiTheme="minorAscii" w:eastAsiaTheme="minorEastAsia" w:cstheme="minorAscii"/>
          <w:b w:val="1"/>
          <w:bCs w:val="1"/>
          <w:color w:val="auto"/>
          <w:sz w:val="22"/>
          <w:szCs w:val="22"/>
        </w:rPr>
        <w:t>Definitions:</w:t>
      </w:r>
      <w:bookmarkEnd w:id="5"/>
      <w:bookmarkEnd w:id="6"/>
      <w:r w:rsidRPr="2D549895" w:rsidR="2D549895">
        <w:rPr>
          <w:rFonts w:ascii="Calibri" w:hAnsi="Calibri" w:eastAsia="" w:cs="Calibri" w:asciiTheme="minorAscii" w:hAnsiTheme="minorAscii" w:eastAsiaTheme="minorEastAsia" w:cstheme="minorAscii"/>
          <w:b w:val="1"/>
          <w:bCs w:val="1"/>
          <w:color w:val="auto"/>
          <w:sz w:val="22"/>
          <w:szCs w:val="22"/>
        </w:rPr>
        <w:t xml:space="preserve"> </w:t>
      </w:r>
    </w:p>
    <w:p w:rsidRPr="00D15661" w:rsidR="003C0139" w:rsidP="003C0139" w:rsidRDefault="003C0139" w14:paraId="305E6DFB" w14:textId="77777777">
      <w:pPr>
        <w:pStyle w:val="ListParagraph"/>
        <w:numPr>
          <w:ilvl w:val="0"/>
          <w:numId w:val="4"/>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Americans with Disabilities Act</w:t>
      </w:r>
    </w:p>
    <w:p w:rsidRPr="00D15661" w:rsidR="003C0139" w:rsidP="003C0139" w:rsidRDefault="003C0139" w14:paraId="31AE0A54" w14:textId="77777777">
      <w:pPr>
        <w:pStyle w:val="ListParagraph"/>
        <w:numPr>
          <w:ilvl w:val="0"/>
          <w:numId w:val="4"/>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Section 504 of the Rehabilitation Act</w:t>
      </w:r>
    </w:p>
    <w:p w:rsidRPr="00D15661" w:rsidR="003C0139" w:rsidP="003C0139" w:rsidRDefault="003C0139" w14:paraId="7CCF11AD" w14:textId="77777777">
      <w:pPr>
        <w:pStyle w:val="ListParagraph"/>
        <w:numPr>
          <w:ilvl w:val="0"/>
          <w:numId w:val="4"/>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 xml:space="preserve">Qualified Persons with Disabilities </w:t>
      </w:r>
    </w:p>
    <w:p w:rsidRPr="00D15661" w:rsidR="003C0139" w:rsidP="003C0139" w:rsidRDefault="003C0139" w14:paraId="2EE61FE5" w14:textId="77777777">
      <w:pPr>
        <w:pStyle w:val="ListParagraph"/>
        <w:numPr>
          <w:ilvl w:val="0"/>
          <w:numId w:val="4"/>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 xml:space="preserve">Disability </w:t>
      </w:r>
    </w:p>
    <w:p w:rsidRPr="00D15661" w:rsidR="003C0139" w:rsidP="003C0139" w:rsidRDefault="003C0139" w14:paraId="4D626C62" w14:textId="77777777">
      <w:pPr>
        <w:pStyle w:val="ListParagraph"/>
        <w:numPr>
          <w:ilvl w:val="0"/>
          <w:numId w:val="4"/>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Reasonable Accommodations</w:t>
      </w:r>
    </w:p>
    <w:p w:rsidRPr="00D15661" w:rsidR="003C0139" w:rsidP="2D549895" w:rsidRDefault="003C0139" w14:paraId="53E4BD6C" w14:textId="77777777">
      <w:pPr>
        <w:pStyle w:val="ListParagraph"/>
        <w:numPr>
          <w:ilvl w:val="0"/>
          <w:numId w:val="4"/>
        </w:numPr>
        <w:rPr>
          <w:rFonts w:ascii="Calibri" w:hAnsi="Calibri" w:eastAsia="" w:cs="Calibri" w:asciiTheme="minorAscii" w:hAnsiTheme="minorAscii" w:eastAsiaTheme="minorEastAsia" w:cstheme="minorAscii"/>
          <w:sz w:val="22"/>
          <w:szCs w:val="22"/>
        </w:rPr>
      </w:pPr>
      <w:r w:rsidRPr="2D549895" w:rsidR="2D549895">
        <w:rPr>
          <w:rFonts w:ascii="Calibri" w:hAnsi="Calibri" w:eastAsia="" w:cs="Calibri" w:asciiTheme="minorAscii" w:hAnsiTheme="minorAscii" w:eastAsiaTheme="minorEastAsia" w:cstheme="minorAscii"/>
          <w:sz w:val="22"/>
          <w:szCs w:val="22"/>
        </w:rPr>
        <w:t>Interactive Process</w:t>
      </w:r>
    </w:p>
    <w:p w:rsidR="2D549895" w:rsidP="2D549895" w:rsidRDefault="2D549895" w14:paraId="43CE0817" w14:textId="75290F8B">
      <w:pPr>
        <w:pStyle w:val="Heading3"/>
        <w:rPr>
          <w:rFonts w:ascii="Calibri" w:hAnsi="Calibri" w:eastAsia="" w:cs="Calibri" w:asciiTheme="minorAscii" w:hAnsiTheme="minorAscii" w:eastAsiaTheme="minorEastAsia" w:cstheme="minorAscii"/>
          <w:color w:val="auto"/>
          <w:sz w:val="22"/>
          <w:szCs w:val="22"/>
        </w:rPr>
      </w:pPr>
    </w:p>
    <w:p w:rsidRPr="00D15661" w:rsidR="003C0139" w:rsidP="2D549895" w:rsidRDefault="003C0139" w14:paraId="0943BF90" w14:textId="77777777" w14:noSpellErr="1">
      <w:pPr>
        <w:pStyle w:val="Heading3"/>
        <w:rPr>
          <w:rFonts w:ascii="Calibri" w:hAnsi="Calibri" w:eastAsia="" w:cs="Calibri" w:asciiTheme="minorAscii" w:hAnsiTheme="minorAscii" w:eastAsiaTheme="minorEastAsia" w:cstheme="minorAscii"/>
          <w:b w:val="1"/>
          <w:bCs w:val="1"/>
          <w:color w:val="auto"/>
          <w:sz w:val="22"/>
          <w:szCs w:val="22"/>
        </w:rPr>
      </w:pPr>
      <w:bookmarkStart w:name="_Toc72909423" w:id="7"/>
      <w:bookmarkStart w:name="_Toc72909656" w:id="8"/>
      <w:r w:rsidRPr="2D549895" w:rsidR="2D549895">
        <w:rPr>
          <w:rFonts w:ascii="Calibri" w:hAnsi="Calibri" w:eastAsia="" w:cs="Calibri" w:asciiTheme="minorAscii" w:hAnsiTheme="minorAscii" w:eastAsiaTheme="minorEastAsia" w:cstheme="minorAscii"/>
          <w:b w:val="1"/>
          <w:bCs w:val="1"/>
          <w:color w:val="auto"/>
          <w:sz w:val="22"/>
          <w:szCs w:val="22"/>
        </w:rPr>
        <w:t>Responsibilities and Corresponding Processes and Procedures:</w:t>
      </w:r>
      <w:bookmarkEnd w:id="7"/>
      <w:bookmarkEnd w:id="8"/>
    </w:p>
    <w:p w:rsidRPr="00D15661" w:rsidR="003C0139" w:rsidP="003C0139" w:rsidRDefault="003C0139" w14:paraId="0718BD4D" w14:textId="77777777">
      <w:pPr>
        <w:pStyle w:val="ListParagraph"/>
        <w:numPr>
          <w:ilvl w:val="2"/>
          <w:numId w:val="1"/>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 xml:space="preserve">Disability Disclosure Process and Procedure (based on ADAAA interactive process requirements) </w:t>
      </w:r>
    </w:p>
    <w:p w:rsidRPr="00D15661" w:rsidR="003C0139" w:rsidP="003C0139" w:rsidRDefault="003C0139" w14:paraId="5B22D91C" w14:textId="77777777">
      <w:pPr>
        <w:pStyle w:val="ListParagraph"/>
        <w:numPr>
          <w:ilvl w:val="2"/>
          <w:numId w:val="1"/>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Academic Accommodation Request and Determination Process and Procedure (based on ADAAA interactive process requirements)</w:t>
      </w:r>
    </w:p>
    <w:p w:rsidRPr="00D15661" w:rsidR="003C0139" w:rsidP="003C0139" w:rsidRDefault="003C0139" w14:paraId="62EFF278" w14:textId="77777777">
      <w:pPr>
        <w:pStyle w:val="ListParagraph"/>
        <w:numPr>
          <w:ilvl w:val="3"/>
          <w:numId w:val="1"/>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Testing accommodation procedure</w:t>
      </w:r>
    </w:p>
    <w:p w:rsidRPr="00D15661" w:rsidR="003C0139" w:rsidP="003C0139" w:rsidRDefault="003C0139" w14:paraId="2A35C3A1" w14:textId="77777777">
      <w:pPr>
        <w:pStyle w:val="ListParagraph"/>
        <w:numPr>
          <w:ilvl w:val="3"/>
          <w:numId w:val="1"/>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Assignment extension procedure</w:t>
      </w:r>
    </w:p>
    <w:p w:rsidRPr="00D15661" w:rsidR="003C0139" w:rsidP="003C0139" w:rsidRDefault="003C0139" w14:paraId="6B9ECFC0" w14:textId="77777777">
      <w:pPr>
        <w:pStyle w:val="ListParagraph"/>
        <w:numPr>
          <w:ilvl w:val="3"/>
          <w:numId w:val="1"/>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 xml:space="preserve">Attendance requirement accommodation procedure </w:t>
      </w:r>
    </w:p>
    <w:p w:rsidRPr="00D15661" w:rsidR="003C0139" w:rsidP="003C0139" w:rsidRDefault="003C0139" w14:paraId="4694F7E7" w14:textId="77777777">
      <w:pPr>
        <w:pStyle w:val="ListParagraph"/>
        <w:numPr>
          <w:ilvl w:val="3"/>
          <w:numId w:val="1"/>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 xml:space="preserve">Note taker accommodations procedure </w:t>
      </w:r>
    </w:p>
    <w:p w:rsidRPr="00D15661" w:rsidR="003C0139" w:rsidP="003C0139" w:rsidRDefault="003C0139" w14:paraId="5BF73C32" w14:textId="77777777">
      <w:pPr>
        <w:pStyle w:val="ListParagraph"/>
        <w:numPr>
          <w:ilvl w:val="3"/>
          <w:numId w:val="1"/>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Alternative text accommodations Request Procedure</w:t>
      </w:r>
    </w:p>
    <w:p w:rsidRPr="00D15661" w:rsidR="003C0139" w:rsidP="003C0139" w:rsidRDefault="003C0139" w14:paraId="36CD3DDB" w14:textId="77777777">
      <w:pPr>
        <w:pStyle w:val="ListParagraph"/>
        <w:numPr>
          <w:ilvl w:val="3"/>
          <w:numId w:val="1"/>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Interpreter/captioning accommodations request Procedure</w:t>
      </w:r>
    </w:p>
    <w:p w:rsidRPr="00D15661" w:rsidR="003C0139" w:rsidP="003C0139" w:rsidRDefault="003C0139" w14:paraId="7ACABF6A" w14:textId="77777777">
      <w:pPr>
        <w:pStyle w:val="ListParagraph"/>
        <w:numPr>
          <w:ilvl w:val="3"/>
          <w:numId w:val="1"/>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 xml:space="preserve">Physical access accommodations request Procedure </w:t>
      </w:r>
    </w:p>
    <w:p w:rsidRPr="00D15661" w:rsidR="003C0139" w:rsidP="003C0139" w:rsidRDefault="003C0139" w14:paraId="4F1E42F0" w14:textId="77777777">
      <w:pPr>
        <w:pStyle w:val="ListParagraph"/>
        <w:ind w:left="2880"/>
        <w:rPr>
          <w:rFonts w:asciiTheme="minorHAnsi" w:hAnsiTheme="minorHAnsi" w:eastAsiaTheme="minorEastAsia" w:cstheme="minorHAnsi"/>
          <w:sz w:val="22"/>
          <w:szCs w:val="22"/>
        </w:rPr>
      </w:pPr>
    </w:p>
    <w:p w:rsidRPr="00D15661" w:rsidR="003C0139" w:rsidP="003C0139" w:rsidRDefault="003C0139" w14:paraId="56FACDB9" w14:textId="77777777">
      <w:pPr>
        <w:pStyle w:val="ListParagraph"/>
        <w:numPr>
          <w:ilvl w:val="2"/>
          <w:numId w:val="1"/>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Housing and Residential Life Accommodations Request and Determination Process and Procedure (based on institutional housing and residential life policies/rules/requirements)</w:t>
      </w:r>
    </w:p>
    <w:p w:rsidRPr="00D15661" w:rsidR="003C0139" w:rsidP="003C0139" w:rsidRDefault="003C0139" w14:paraId="6EB3188E" w14:textId="77777777">
      <w:pPr>
        <w:pStyle w:val="ListParagraph"/>
        <w:numPr>
          <w:ilvl w:val="3"/>
          <w:numId w:val="1"/>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Residential Room Accommodation Procedure</w:t>
      </w:r>
    </w:p>
    <w:p w:rsidRPr="00D15661" w:rsidR="003C0139" w:rsidP="003C0139" w:rsidRDefault="003C0139" w14:paraId="67C2046F" w14:textId="77777777">
      <w:pPr>
        <w:pStyle w:val="ListParagraph"/>
        <w:numPr>
          <w:ilvl w:val="3"/>
          <w:numId w:val="1"/>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Assistance/Emotional Support Animals Procedure</w:t>
      </w:r>
    </w:p>
    <w:p w:rsidRPr="00D15661" w:rsidR="003C0139" w:rsidP="003C0139" w:rsidRDefault="003C0139" w14:paraId="1930F21D" w14:textId="77777777">
      <w:pPr>
        <w:pStyle w:val="ListParagraph"/>
        <w:numPr>
          <w:ilvl w:val="3"/>
          <w:numId w:val="1"/>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lastRenderedPageBreak/>
        <w:t>Meal Plan Accommodation Procedure</w:t>
      </w:r>
    </w:p>
    <w:p w:rsidRPr="00D15661" w:rsidR="003C0139" w:rsidP="003C0139" w:rsidRDefault="003C0139" w14:paraId="05C50992" w14:textId="77777777">
      <w:pPr>
        <w:pStyle w:val="ListParagraph"/>
        <w:ind w:left="2880"/>
        <w:rPr>
          <w:rFonts w:asciiTheme="minorHAnsi" w:hAnsiTheme="minorHAnsi" w:eastAsiaTheme="minorEastAsia" w:cstheme="minorHAnsi"/>
          <w:sz w:val="22"/>
          <w:szCs w:val="22"/>
        </w:rPr>
      </w:pPr>
    </w:p>
    <w:p w:rsidRPr="00D15661" w:rsidR="003C0139" w:rsidP="003C0139" w:rsidRDefault="003C0139" w14:paraId="730CE101" w14:textId="77777777">
      <w:pPr>
        <w:pStyle w:val="ListParagraph"/>
        <w:numPr>
          <w:ilvl w:val="2"/>
          <w:numId w:val="1"/>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Parking/ Transportation Accommodations Request and Determination Process and Procedure (based on institutional parking/transportation polices/rules/requirements)</w:t>
      </w:r>
    </w:p>
    <w:p w:rsidRPr="00D15661" w:rsidR="003C0139" w:rsidP="003C0139" w:rsidRDefault="003C0139" w14:paraId="5020E1B1" w14:textId="77777777">
      <w:pPr>
        <w:pStyle w:val="ListParagraph"/>
        <w:numPr>
          <w:ilvl w:val="3"/>
          <w:numId w:val="1"/>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Access to Parking Pass Request Procedure</w:t>
      </w:r>
    </w:p>
    <w:p w:rsidRPr="00D15661" w:rsidR="003C0139" w:rsidP="003C0139" w:rsidRDefault="003C0139" w14:paraId="187F26BC" w14:textId="77777777">
      <w:pPr>
        <w:pStyle w:val="ListParagraph"/>
        <w:numPr>
          <w:ilvl w:val="3"/>
          <w:numId w:val="1"/>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On-Campus Transportation Accommodation Request Procedure</w:t>
      </w:r>
    </w:p>
    <w:p w:rsidRPr="00D15661" w:rsidR="003C0139" w:rsidP="003C0139" w:rsidRDefault="003C0139" w14:paraId="60FDAF32" w14:textId="77777777">
      <w:pPr>
        <w:pStyle w:val="ListParagraph"/>
        <w:ind w:left="2880"/>
        <w:rPr>
          <w:rFonts w:asciiTheme="minorHAnsi" w:hAnsiTheme="minorHAnsi" w:eastAsiaTheme="minorEastAsia" w:cstheme="minorHAnsi"/>
          <w:sz w:val="22"/>
          <w:szCs w:val="22"/>
        </w:rPr>
      </w:pPr>
    </w:p>
    <w:p w:rsidRPr="00D15661" w:rsidR="003C0139" w:rsidP="003C0139" w:rsidRDefault="003C0139" w14:paraId="7F36F424" w14:textId="77777777">
      <w:pPr>
        <w:pStyle w:val="ListParagraph"/>
        <w:numPr>
          <w:ilvl w:val="2"/>
          <w:numId w:val="1"/>
        </w:numPr>
        <w:rPr>
          <w:rFonts w:asciiTheme="minorHAnsi" w:hAnsiTheme="minorHAnsi" w:eastAsiaTheme="minorEastAsia" w:cstheme="minorBidi"/>
          <w:sz w:val="22"/>
          <w:szCs w:val="22"/>
        </w:rPr>
      </w:pPr>
      <w:r w:rsidRPr="67FCEA3A">
        <w:rPr>
          <w:rFonts w:asciiTheme="minorHAnsi" w:hAnsiTheme="minorHAnsi" w:eastAsiaTheme="minorEastAsia" w:cstheme="minorBidi"/>
          <w:sz w:val="22"/>
          <w:szCs w:val="22"/>
        </w:rPr>
        <w:t xml:space="preserve">Grievance Process and Procedure </w:t>
      </w:r>
    </w:p>
    <w:p w:rsidRPr="00D15661" w:rsidR="003C0139" w:rsidP="003C0139" w:rsidRDefault="003C0139" w14:paraId="7A410741" w14:textId="77777777">
      <w:pPr>
        <w:pStyle w:val="ListParagraph"/>
        <w:numPr>
          <w:ilvl w:val="3"/>
          <w:numId w:val="1"/>
        </w:num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Informal Process and Procedure</w:t>
      </w:r>
    </w:p>
    <w:p w:rsidRPr="00D15661" w:rsidR="003C0139" w:rsidP="2D549895" w:rsidRDefault="003C0139" w14:paraId="2BC04452" w14:textId="77777777">
      <w:pPr>
        <w:pStyle w:val="ListParagraph"/>
        <w:numPr>
          <w:ilvl w:val="3"/>
          <w:numId w:val="1"/>
        </w:numPr>
        <w:rPr>
          <w:rFonts w:ascii="Calibri" w:hAnsi="Calibri" w:eastAsia="" w:cs="Calibri" w:asciiTheme="minorAscii" w:hAnsiTheme="minorAscii" w:eastAsiaTheme="minorEastAsia" w:cstheme="minorAscii"/>
          <w:sz w:val="22"/>
          <w:szCs w:val="22"/>
        </w:rPr>
      </w:pPr>
      <w:r w:rsidRPr="2D549895" w:rsidR="2D549895">
        <w:rPr>
          <w:rFonts w:ascii="Calibri" w:hAnsi="Calibri" w:eastAsia="" w:cs="Calibri" w:asciiTheme="minorAscii" w:hAnsiTheme="minorAscii" w:eastAsiaTheme="minorEastAsia" w:cstheme="minorAscii"/>
          <w:sz w:val="22"/>
          <w:szCs w:val="22"/>
        </w:rPr>
        <w:t xml:space="preserve">Formal Process and Procedure </w:t>
      </w:r>
    </w:p>
    <w:p w:rsidR="2D549895" w:rsidP="2D549895" w:rsidRDefault="2D549895" w14:paraId="5C85F77C" w14:textId="37845CC3">
      <w:pPr>
        <w:pStyle w:val="Heading3"/>
        <w:rPr>
          <w:rFonts w:ascii="Calibri" w:hAnsi="Calibri" w:eastAsia="" w:cs="Calibri" w:asciiTheme="minorAscii" w:hAnsiTheme="minorAscii" w:eastAsiaTheme="minorEastAsia" w:cstheme="minorAscii"/>
          <w:b w:val="1"/>
          <w:bCs w:val="1"/>
          <w:color w:val="auto"/>
          <w:sz w:val="22"/>
          <w:szCs w:val="22"/>
        </w:rPr>
      </w:pPr>
    </w:p>
    <w:p w:rsidRPr="00D15661" w:rsidR="003C0139" w:rsidP="2D549895" w:rsidRDefault="003C0139" w14:paraId="0A09D370" w14:textId="77777777" w14:noSpellErr="1">
      <w:pPr>
        <w:pStyle w:val="Heading3"/>
        <w:rPr>
          <w:rFonts w:ascii="Calibri" w:hAnsi="Calibri" w:eastAsia="" w:cs="Calibri" w:asciiTheme="minorAscii" w:hAnsiTheme="minorAscii" w:eastAsiaTheme="minorEastAsia" w:cstheme="minorAscii"/>
          <w:b w:val="1"/>
          <w:bCs w:val="1"/>
          <w:color w:val="auto"/>
          <w:sz w:val="22"/>
          <w:szCs w:val="22"/>
        </w:rPr>
      </w:pPr>
      <w:bookmarkStart w:name="_Toc72909424" w:id="9"/>
      <w:bookmarkStart w:name="_Toc72909657" w:id="10"/>
      <w:r w:rsidRPr="2D549895" w:rsidR="2D549895">
        <w:rPr>
          <w:rFonts w:ascii="Calibri" w:hAnsi="Calibri" w:eastAsia="" w:cs="Calibri" w:asciiTheme="minorAscii" w:hAnsiTheme="minorAscii" w:eastAsiaTheme="minorEastAsia" w:cstheme="minorAscii"/>
          <w:b w:val="1"/>
          <w:bCs w:val="1"/>
          <w:color w:val="auto"/>
          <w:sz w:val="22"/>
          <w:szCs w:val="22"/>
        </w:rPr>
        <w:t>Forms and Tools:</w:t>
      </w:r>
      <w:bookmarkEnd w:id="9"/>
      <w:bookmarkEnd w:id="10"/>
    </w:p>
    <w:p w:rsidRPr="00D15661" w:rsidR="003C0139" w:rsidP="003C0139" w:rsidRDefault="003C0139" w14:paraId="36011467" w14:textId="77777777">
      <w:pPr>
        <w:pStyle w:val="ListParagraph"/>
        <w:numPr>
          <w:ilvl w:val="0"/>
          <w:numId w:val="3"/>
        </w:numPr>
        <w:rPr>
          <w:rFonts w:asciiTheme="minorHAnsi" w:hAnsiTheme="minorHAnsi" w:eastAsiaTheme="minorEastAsia" w:cstheme="minorHAnsi"/>
          <w:b/>
          <w:bCs/>
          <w:sz w:val="22"/>
          <w:szCs w:val="22"/>
        </w:rPr>
      </w:pPr>
      <w:r w:rsidRPr="00D15661">
        <w:rPr>
          <w:rFonts w:asciiTheme="minorHAnsi" w:hAnsiTheme="minorHAnsi" w:eastAsiaTheme="minorEastAsia" w:cstheme="minorHAnsi"/>
          <w:sz w:val="22"/>
          <w:szCs w:val="22"/>
        </w:rPr>
        <w:t>Disability Disclosure Forms</w:t>
      </w:r>
    </w:p>
    <w:p w:rsidRPr="00D15661" w:rsidR="003C0139" w:rsidP="2D549895" w:rsidRDefault="003C0139" w14:paraId="62788D68" w14:textId="77777777">
      <w:pPr>
        <w:pStyle w:val="ListParagraph"/>
        <w:numPr>
          <w:ilvl w:val="0"/>
          <w:numId w:val="3"/>
        </w:numPr>
        <w:rPr>
          <w:rFonts w:ascii="Calibri" w:hAnsi="Calibri" w:eastAsia="" w:cs="Calibri" w:asciiTheme="minorAscii" w:hAnsiTheme="minorAscii" w:eastAsiaTheme="minorEastAsia" w:cstheme="minorAscii"/>
          <w:b w:val="1"/>
          <w:bCs w:val="1"/>
          <w:sz w:val="22"/>
          <w:szCs w:val="22"/>
        </w:rPr>
      </w:pPr>
      <w:r w:rsidRPr="2D549895" w:rsidR="2D549895">
        <w:rPr>
          <w:rFonts w:ascii="Calibri" w:hAnsi="Calibri" w:eastAsia="" w:cs="Calibri" w:asciiTheme="minorAscii" w:hAnsiTheme="minorAscii" w:eastAsiaTheme="minorEastAsia" w:cstheme="minorAscii"/>
          <w:sz w:val="22"/>
          <w:szCs w:val="22"/>
        </w:rPr>
        <w:t xml:space="preserve">Documentation Guidelines </w:t>
      </w:r>
    </w:p>
    <w:p w:rsidR="2D549895" w:rsidP="2D549895" w:rsidRDefault="2D549895" w14:paraId="0A245989" w14:textId="01CA5398">
      <w:pPr>
        <w:pStyle w:val="Heading3"/>
        <w:rPr>
          <w:rFonts w:ascii="Calibri" w:hAnsi="Calibri" w:eastAsia="" w:cs="Calibri" w:asciiTheme="minorAscii" w:hAnsiTheme="minorAscii" w:eastAsiaTheme="minorEastAsia" w:cstheme="minorAscii"/>
          <w:color w:val="auto"/>
          <w:sz w:val="22"/>
          <w:szCs w:val="22"/>
        </w:rPr>
      </w:pPr>
    </w:p>
    <w:p w:rsidRPr="00D15661" w:rsidR="003C0139" w:rsidP="2D549895" w:rsidRDefault="003C0139" w14:paraId="45D5AE64" w14:textId="77777777" w14:noSpellErr="1">
      <w:pPr>
        <w:pStyle w:val="Heading3"/>
        <w:rPr>
          <w:rFonts w:ascii="Calibri" w:hAnsi="Calibri" w:eastAsia="" w:cs="Calibri" w:asciiTheme="minorAscii" w:hAnsiTheme="minorAscii" w:eastAsiaTheme="minorEastAsia" w:cstheme="minorAscii"/>
          <w:b w:val="1"/>
          <w:bCs w:val="1"/>
          <w:color w:val="auto"/>
          <w:sz w:val="22"/>
          <w:szCs w:val="22"/>
        </w:rPr>
      </w:pPr>
      <w:bookmarkStart w:name="_Toc72909425" w:id="11"/>
      <w:bookmarkStart w:name="_Toc72909658" w:id="12"/>
      <w:r w:rsidRPr="2D549895" w:rsidR="2D549895">
        <w:rPr>
          <w:rFonts w:ascii="Calibri" w:hAnsi="Calibri" w:eastAsia="" w:cs="Calibri" w:asciiTheme="minorAscii" w:hAnsiTheme="minorAscii" w:eastAsiaTheme="minorEastAsia" w:cstheme="minorAscii"/>
          <w:b w:val="1"/>
          <w:bCs w:val="1"/>
          <w:color w:val="auto"/>
          <w:sz w:val="22"/>
          <w:szCs w:val="22"/>
        </w:rPr>
        <w:t>Frequently Asked Questions:</w:t>
      </w:r>
      <w:bookmarkEnd w:id="11"/>
      <w:bookmarkEnd w:id="12"/>
    </w:p>
    <w:p w:rsidRPr="00D15661" w:rsidR="003C0139" w:rsidP="003C0139" w:rsidRDefault="003C0139" w14:paraId="3190037A" w14:textId="77777777">
      <w:pPr>
        <w:pStyle w:val="ListParagraph"/>
        <w:numPr>
          <w:ilvl w:val="0"/>
          <w:numId w:val="3"/>
        </w:numPr>
        <w:rPr>
          <w:rFonts w:asciiTheme="minorHAnsi" w:hAnsiTheme="minorHAnsi" w:eastAsiaTheme="minorEastAsia" w:cstheme="minorHAnsi"/>
          <w:b/>
          <w:bCs/>
          <w:sz w:val="22"/>
          <w:szCs w:val="22"/>
        </w:rPr>
      </w:pPr>
      <w:r w:rsidRPr="00D15661">
        <w:rPr>
          <w:rFonts w:asciiTheme="minorHAnsi" w:hAnsiTheme="minorHAnsi" w:eastAsiaTheme="minorEastAsia" w:cstheme="minorHAnsi"/>
          <w:sz w:val="22"/>
          <w:szCs w:val="22"/>
        </w:rPr>
        <w:t>Who is eligible to receive reasonable accommodations?</w:t>
      </w:r>
    </w:p>
    <w:p w:rsidRPr="00D15661" w:rsidR="003C0139" w:rsidP="003C0139" w:rsidRDefault="003C0139" w14:paraId="7CE22E4B" w14:textId="77777777">
      <w:pPr>
        <w:pStyle w:val="ListParagraph"/>
        <w:numPr>
          <w:ilvl w:val="0"/>
          <w:numId w:val="3"/>
        </w:numPr>
        <w:rPr>
          <w:rFonts w:asciiTheme="minorHAnsi" w:hAnsiTheme="minorHAnsi" w:eastAsiaTheme="minorEastAsia" w:cstheme="minorHAnsi"/>
          <w:b/>
          <w:bCs/>
          <w:sz w:val="22"/>
          <w:szCs w:val="22"/>
        </w:rPr>
      </w:pPr>
      <w:r w:rsidRPr="00D15661">
        <w:rPr>
          <w:rFonts w:asciiTheme="minorHAnsi" w:hAnsiTheme="minorHAnsi" w:eastAsiaTheme="minorEastAsia" w:cstheme="minorHAnsi"/>
          <w:sz w:val="22"/>
          <w:szCs w:val="22"/>
        </w:rPr>
        <w:t xml:space="preserve">Are there fees associated with reasonable accommodations? </w:t>
      </w:r>
    </w:p>
    <w:p w:rsidRPr="00D15661" w:rsidR="003C0139" w:rsidP="2D549895" w:rsidRDefault="003C0139" w14:paraId="0C16DE52" w14:textId="77777777">
      <w:pPr>
        <w:pStyle w:val="ListParagraph"/>
        <w:numPr>
          <w:ilvl w:val="0"/>
          <w:numId w:val="3"/>
        </w:numPr>
        <w:rPr>
          <w:rFonts w:ascii="Calibri" w:hAnsi="Calibri" w:eastAsia="" w:cs="Calibri" w:asciiTheme="minorAscii" w:hAnsiTheme="minorAscii" w:eastAsiaTheme="minorEastAsia" w:cstheme="minorAscii"/>
          <w:b w:val="1"/>
          <w:bCs w:val="1"/>
          <w:sz w:val="22"/>
          <w:szCs w:val="22"/>
        </w:rPr>
      </w:pPr>
      <w:r w:rsidRPr="2D549895" w:rsidR="2D549895">
        <w:rPr>
          <w:rFonts w:ascii="Calibri" w:hAnsi="Calibri" w:eastAsia="" w:cs="Calibri" w:asciiTheme="minorAscii" w:hAnsiTheme="minorAscii" w:eastAsiaTheme="minorEastAsia" w:cstheme="minorAscii"/>
          <w:sz w:val="22"/>
          <w:szCs w:val="22"/>
        </w:rPr>
        <w:t xml:space="preserve">How do I know if I have to provide reasonable accommodations? </w:t>
      </w:r>
    </w:p>
    <w:p w:rsidR="2D549895" w:rsidP="2D549895" w:rsidRDefault="2D549895" w14:paraId="23DCCC6D" w14:textId="242BFC4C">
      <w:pPr>
        <w:pStyle w:val="Heading3"/>
        <w:rPr>
          <w:rFonts w:ascii="Calibri" w:hAnsi="Calibri" w:eastAsia="" w:cs="Calibri" w:asciiTheme="minorAscii" w:hAnsiTheme="minorAscii" w:eastAsiaTheme="minorEastAsia" w:cstheme="minorAscii"/>
          <w:color w:val="auto"/>
          <w:sz w:val="22"/>
          <w:szCs w:val="22"/>
        </w:rPr>
      </w:pPr>
    </w:p>
    <w:p w:rsidRPr="00D15661" w:rsidR="003C0139" w:rsidP="2D549895" w:rsidRDefault="003C0139" w14:paraId="645BB8FE" w14:textId="77777777" w14:noSpellErr="1">
      <w:pPr>
        <w:pStyle w:val="Heading3"/>
        <w:rPr>
          <w:rFonts w:ascii="Calibri" w:hAnsi="Calibri" w:eastAsia="" w:cs="Calibri" w:asciiTheme="minorAscii" w:hAnsiTheme="minorAscii" w:eastAsiaTheme="minorEastAsia" w:cstheme="minorAscii"/>
          <w:b w:val="1"/>
          <w:bCs w:val="1"/>
          <w:color w:val="auto"/>
          <w:sz w:val="22"/>
          <w:szCs w:val="22"/>
        </w:rPr>
      </w:pPr>
      <w:bookmarkStart w:name="_Toc72909426" w:id="13"/>
      <w:bookmarkStart w:name="_Toc72909659" w:id="14"/>
      <w:r w:rsidRPr="2D549895" w:rsidR="2D549895">
        <w:rPr>
          <w:rFonts w:ascii="Calibri" w:hAnsi="Calibri" w:eastAsia="" w:cs="Calibri" w:asciiTheme="minorAscii" w:hAnsiTheme="minorAscii" w:eastAsiaTheme="minorEastAsia" w:cstheme="minorAscii"/>
          <w:b w:val="1"/>
          <w:bCs w:val="1"/>
          <w:color w:val="auto"/>
          <w:sz w:val="22"/>
          <w:szCs w:val="22"/>
        </w:rPr>
        <w:t>Related Information:</w:t>
      </w:r>
      <w:bookmarkEnd w:id="13"/>
      <w:bookmarkEnd w:id="14"/>
    </w:p>
    <w:p w:rsidRPr="00D15661" w:rsidR="003C0139" w:rsidP="003C0139" w:rsidRDefault="003C0139" w14:paraId="2DD4D3DF" w14:textId="77777777">
      <w:pPr>
        <w:rPr>
          <w:rFonts w:asciiTheme="minorHAnsi" w:hAnsiTheme="minorHAnsi" w:eastAsiaTheme="minorEastAsia" w:cstheme="minorHAnsi"/>
          <w:sz w:val="22"/>
          <w:szCs w:val="22"/>
        </w:rPr>
      </w:pPr>
      <w:r w:rsidRPr="00D15661">
        <w:rPr>
          <w:rFonts w:asciiTheme="minorHAnsi" w:hAnsiTheme="minorHAnsi" w:eastAsiaTheme="minorEastAsia" w:cstheme="minorHAnsi"/>
          <w:sz w:val="22"/>
          <w:szCs w:val="22"/>
        </w:rPr>
        <w:t>Related institutional policies/rules/requirements/guidelines</w:t>
      </w:r>
    </w:p>
    <w:p w:rsidRPr="00D15661" w:rsidR="003C0139" w:rsidP="003C0139" w:rsidRDefault="003C0139" w14:paraId="58D0E58E" w14:textId="77777777">
      <w:pPr>
        <w:rPr>
          <w:rFonts w:asciiTheme="minorHAnsi" w:hAnsiTheme="minorHAnsi" w:eastAsiaTheme="minorEastAsia" w:cstheme="minorHAnsi"/>
          <w:sz w:val="22"/>
          <w:szCs w:val="22"/>
        </w:rPr>
      </w:pPr>
      <w:r w:rsidRPr="2D549895" w:rsidR="2D549895">
        <w:rPr>
          <w:rFonts w:ascii="Calibri" w:hAnsi="Calibri" w:eastAsia="" w:cs="Calibri" w:asciiTheme="minorAscii" w:hAnsiTheme="minorAscii" w:eastAsiaTheme="minorEastAsia" w:cstheme="minorAscii"/>
          <w:sz w:val="22"/>
          <w:szCs w:val="22"/>
        </w:rPr>
        <w:t xml:space="preserve">ADA, Section 504, Fair Housing, and other related laws and regulations impacting reasonable accommodations  </w:t>
      </w:r>
    </w:p>
    <w:p w:rsidR="2D549895" w:rsidP="2D549895" w:rsidRDefault="2D549895" w14:paraId="53C68BB7" w14:textId="42C28D69">
      <w:pPr>
        <w:pStyle w:val="Heading3"/>
        <w:rPr>
          <w:rFonts w:ascii="Calibri" w:hAnsi="Calibri" w:eastAsia="" w:cs="Calibri" w:asciiTheme="minorAscii" w:hAnsiTheme="minorAscii" w:eastAsiaTheme="minorEastAsia" w:cstheme="minorAscii"/>
          <w:color w:val="auto"/>
          <w:sz w:val="22"/>
          <w:szCs w:val="22"/>
        </w:rPr>
      </w:pPr>
    </w:p>
    <w:p w:rsidRPr="00D15661" w:rsidR="003C0139" w:rsidP="2D549895" w:rsidRDefault="003C0139" w14:paraId="610366BB" w14:textId="77777777" w14:noSpellErr="1">
      <w:pPr>
        <w:pStyle w:val="Heading3"/>
        <w:rPr>
          <w:rFonts w:ascii="Calibri" w:hAnsi="Calibri" w:eastAsia="" w:cs="Calibri" w:asciiTheme="minorAscii" w:hAnsiTheme="minorAscii" w:eastAsiaTheme="minorEastAsia" w:cstheme="minorAscii"/>
          <w:b w:val="1"/>
          <w:bCs w:val="1"/>
          <w:color w:val="auto"/>
          <w:sz w:val="22"/>
          <w:szCs w:val="22"/>
        </w:rPr>
      </w:pPr>
      <w:bookmarkStart w:name="_Toc72909427" w:id="15"/>
      <w:bookmarkStart w:name="_Toc72909660" w:id="16"/>
      <w:r w:rsidRPr="2D549895" w:rsidR="2D549895">
        <w:rPr>
          <w:rFonts w:ascii="Calibri" w:hAnsi="Calibri" w:eastAsia="" w:cs="Calibri" w:asciiTheme="minorAscii" w:hAnsiTheme="minorAscii" w:eastAsiaTheme="minorEastAsia" w:cstheme="minorAscii"/>
          <w:b w:val="1"/>
          <w:bCs w:val="1"/>
          <w:color w:val="auto"/>
          <w:sz w:val="22"/>
          <w:szCs w:val="22"/>
        </w:rPr>
        <w:t>History:</w:t>
      </w:r>
      <w:bookmarkEnd w:id="15"/>
      <w:bookmarkEnd w:id="16"/>
    </w:p>
    <w:p w:rsidR="2D549895" w:rsidP="2D549895" w:rsidRDefault="2D549895" w14:paraId="0372292B" w14:textId="124F00D7">
      <w:pPr>
        <w:pStyle w:val="Normal"/>
        <w:bidi w:val="0"/>
        <w:spacing w:before="0" w:beforeAutospacing="off" w:after="0" w:afterAutospacing="off" w:line="259" w:lineRule="auto"/>
        <w:ind w:left="0" w:right="0"/>
        <w:jc w:val="left"/>
        <w:rPr>
          <w:rFonts w:ascii="Calibri" w:hAnsi="Calibri" w:eastAsia="" w:cs="Calibri" w:asciiTheme="minorAscii" w:hAnsiTheme="minorAscii" w:eastAsiaTheme="minorEastAsia" w:cstheme="minorAscii"/>
          <w:i w:val="1"/>
          <w:iCs w:val="1"/>
          <w:sz w:val="22"/>
          <w:szCs w:val="22"/>
        </w:rPr>
      </w:pPr>
      <w:r w:rsidRPr="2D549895" w:rsidR="2D549895">
        <w:rPr>
          <w:rFonts w:ascii="Calibri" w:hAnsi="Calibri" w:eastAsia="" w:cs="Calibri" w:asciiTheme="minorAscii" w:hAnsiTheme="minorAscii" w:eastAsiaTheme="minorEastAsia" w:cstheme="minorAscii"/>
          <w:i w:val="1"/>
          <w:iCs w:val="1"/>
          <w:sz w:val="22"/>
          <w:szCs w:val="22"/>
        </w:rPr>
        <w:t>(Date of approval and revision dates if applicable)</w:t>
      </w:r>
    </w:p>
    <w:p w:rsidR="2D549895" w:rsidP="2D549895" w:rsidRDefault="2D549895" w14:paraId="70488379" w14:textId="10DD7CF4">
      <w:pPr>
        <w:pStyle w:val="Heading3"/>
        <w:rPr>
          <w:rFonts w:ascii="Calibri" w:hAnsi="Calibri" w:eastAsia="" w:cs="Calibri" w:asciiTheme="minorAscii" w:hAnsiTheme="minorAscii" w:eastAsiaTheme="minorEastAsia" w:cstheme="minorAscii"/>
          <w:color w:val="auto"/>
          <w:sz w:val="22"/>
          <w:szCs w:val="22"/>
        </w:rPr>
      </w:pPr>
    </w:p>
    <w:p w:rsidRPr="00D15661" w:rsidR="003C0139" w:rsidP="2D549895" w:rsidRDefault="003C0139" w14:paraId="6A9871AF" w14:textId="77777777" w14:noSpellErr="1">
      <w:pPr>
        <w:pStyle w:val="Heading3"/>
        <w:rPr>
          <w:rFonts w:ascii="Calibri" w:hAnsi="Calibri" w:eastAsia="" w:cs="Calibri" w:asciiTheme="minorAscii" w:hAnsiTheme="minorAscii" w:eastAsiaTheme="minorEastAsia" w:cstheme="minorAscii"/>
          <w:b w:val="1"/>
          <w:bCs w:val="1"/>
          <w:color w:val="auto"/>
          <w:sz w:val="22"/>
          <w:szCs w:val="22"/>
        </w:rPr>
      </w:pPr>
      <w:bookmarkStart w:name="_Toc72909428" w:id="17"/>
      <w:bookmarkStart w:name="_Toc72909661" w:id="18"/>
      <w:r w:rsidRPr="2D549895" w:rsidR="2D549895">
        <w:rPr>
          <w:rFonts w:ascii="Calibri" w:hAnsi="Calibri" w:eastAsia="" w:cs="Calibri" w:asciiTheme="minorAscii" w:hAnsiTheme="minorAscii" w:eastAsiaTheme="minorEastAsia" w:cstheme="minorAscii"/>
          <w:b w:val="1"/>
          <w:bCs w:val="1"/>
          <w:color w:val="auto"/>
          <w:sz w:val="22"/>
          <w:szCs w:val="22"/>
        </w:rPr>
        <w:t>Website:</w:t>
      </w:r>
      <w:bookmarkEnd w:id="17"/>
      <w:bookmarkEnd w:id="18"/>
    </w:p>
    <w:p w:rsidR="2D549895" w:rsidP="2D549895" w:rsidRDefault="2D549895" w14:paraId="0552760A" w14:textId="3EC3CEFA">
      <w:pPr>
        <w:pStyle w:val="Normal"/>
        <w:bidi w:val="0"/>
        <w:spacing w:before="0" w:beforeAutospacing="off" w:after="0" w:afterAutospacing="off" w:line="259" w:lineRule="auto"/>
        <w:ind w:left="0" w:right="0"/>
        <w:jc w:val="left"/>
        <w:rPr>
          <w:rFonts w:ascii="Times New Roman" w:hAnsi="Times New Roman" w:eastAsia="Times New Roman" w:cs="Times New Roman"/>
          <w:sz w:val="22"/>
          <w:szCs w:val="22"/>
        </w:rPr>
      </w:pPr>
      <w:r w:rsidRPr="2D549895" w:rsidR="2D549895">
        <w:rPr>
          <w:rFonts w:ascii="Calibri" w:hAnsi="Calibri" w:eastAsia="" w:cs="Calibri" w:asciiTheme="minorAscii" w:hAnsiTheme="minorAscii" w:eastAsiaTheme="minorEastAsia" w:cstheme="minorAscii"/>
          <w:sz w:val="22"/>
          <w:szCs w:val="22"/>
        </w:rPr>
        <w:t>(</w:t>
      </w:r>
      <w:r w:rsidRPr="2D549895" w:rsidR="2D549895">
        <w:rPr>
          <w:rFonts w:ascii="Calibri" w:hAnsi="Calibri" w:eastAsia="" w:cs="Calibri" w:asciiTheme="minorAscii" w:hAnsiTheme="minorAscii" w:eastAsiaTheme="minorEastAsia" w:cstheme="minorAscii"/>
          <w:i w:val="1"/>
          <w:iCs w:val="1"/>
          <w:sz w:val="22"/>
          <w:szCs w:val="22"/>
        </w:rPr>
        <w:t>Website address)</w:t>
      </w:r>
    </w:p>
    <w:p w:rsidR="2D549895" w:rsidP="2D549895" w:rsidRDefault="2D549895" w14:paraId="171BA03A" w14:textId="0D25523E">
      <w:pPr>
        <w:pStyle w:val="Heading3"/>
        <w:rPr>
          <w:rFonts w:ascii="Calibri" w:hAnsi="Calibri" w:eastAsia="" w:cs="Calibri" w:asciiTheme="minorAscii" w:hAnsiTheme="minorAscii" w:eastAsiaTheme="minorEastAsia" w:cstheme="minorAscii"/>
          <w:b w:val="1"/>
          <w:bCs w:val="1"/>
          <w:color w:val="auto"/>
          <w:sz w:val="22"/>
          <w:szCs w:val="22"/>
        </w:rPr>
      </w:pPr>
    </w:p>
    <w:p w:rsidRPr="00D15661" w:rsidR="003C0139" w:rsidP="2D549895" w:rsidRDefault="003C0139" w14:paraId="51B70EBF" w14:textId="77777777" w14:noSpellErr="1">
      <w:pPr>
        <w:pStyle w:val="Heading3"/>
        <w:rPr>
          <w:rFonts w:ascii="Calibri" w:hAnsi="Calibri" w:eastAsia="" w:cs="Calibri" w:asciiTheme="minorAscii" w:hAnsiTheme="minorAscii" w:eastAsiaTheme="minorEastAsia" w:cstheme="minorAscii"/>
          <w:b w:val="1"/>
          <w:bCs w:val="1"/>
          <w:color w:val="auto"/>
          <w:sz w:val="22"/>
          <w:szCs w:val="22"/>
        </w:rPr>
      </w:pPr>
      <w:bookmarkStart w:name="_Toc72909429" w:id="19"/>
      <w:bookmarkStart w:name="_Toc72909662" w:id="20"/>
      <w:r w:rsidRPr="2D549895" w:rsidR="2D549895">
        <w:rPr>
          <w:rFonts w:ascii="Calibri" w:hAnsi="Calibri" w:eastAsia="" w:cs="Calibri" w:asciiTheme="minorAscii" w:hAnsiTheme="minorAscii" w:eastAsiaTheme="minorEastAsia" w:cstheme="minorAscii"/>
          <w:b w:val="1"/>
          <w:bCs w:val="1"/>
          <w:color w:val="auto"/>
          <w:sz w:val="22"/>
          <w:szCs w:val="22"/>
        </w:rPr>
        <w:t>Contacts/Owners:</w:t>
      </w:r>
      <w:bookmarkEnd w:id="19"/>
      <w:bookmarkEnd w:id="20"/>
    </w:p>
    <w:p w:rsidRPr="00D15661" w:rsidR="003C0139" w:rsidP="2D549895" w:rsidRDefault="003C0139" w14:paraId="76BDA181" w14:textId="12999CC9">
      <w:pPr>
        <w:pStyle w:val="Normal"/>
        <w:rPr>
          <w:rFonts w:ascii="Calibri" w:hAnsi="Calibri" w:eastAsia="" w:cs="Calibri" w:asciiTheme="minorAscii" w:hAnsiTheme="minorAscii" w:eastAsiaTheme="minorEastAsia" w:cstheme="minorAscii"/>
          <w:sz w:val="22"/>
          <w:szCs w:val="22"/>
        </w:rPr>
      </w:pPr>
      <w:r w:rsidRPr="2D549895" w:rsidR="2D549895">
        <w:rPr>
          <w:rFonts w:ascii="Calibri" w:hAnsi="Calibri" w:eastAsia="" w:cs="Calibri" w:asciiTheme="minorAscii" w:hAnsiTheme="minorAscii" w:eastAsiaTheme="minorEastAsia" w:cstheme="minorAscii"/>
          <w:sz w:val="22"/>
          <w:szCs w:val="22"/>
        </w:rPr>
        <w:t>(</w:t>
      </w:r>
      <w:r w:rsidRPr="2D549895" w:rsidR="2D549895">
        <w:rPr>
          <w:rFonts w:ascii="Calibri" w:hAnsi="Calibri" w:eastAsia="" w:cs="Calibri" w:asciiTheme="minorAscii" w:hAnsiTheme="minorAscii" w:eastAsiaTheme="minorEastAsia" w:cstheme="minorAscii"/>
          <w:i w:val="1"/>
          <w:iCs w:val="1"/>
          <w:sz w:val="22"/>
          <w:szCs w:val="22"/>
        </w:rPr>
        <w:t>IHE Contact, Phone and Email)</w:t>
      </w:r>
    </w:p>
    <w:p w:rsidR="003C0139" w:rsidRDefault="003C0139" w14:paraId="1E908C3A" w14:textId="77777777"/>
    <w:sectPr w:rsidR="003C013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quot;Courier New&quo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63C6"/>
    <w:multiLevelType w:val="hybridMultilevel"/>
    <w:tmpl w:val="BB96DFBA"/>
    <w:lvl w:ilvl="0" w:tplc="04090001">
      <w:start w:val="1"/>
      <w:numFmt w:val="bullet"/>
      <w:lvlText w:val=""/>
      <w:lvlJc w:val="left"/>
      <w:pPr>
        <w:ind w:left="1490" w:hanging="360"/>
      </w:pPr>
      <w:rPr>
        <w:rFonts w:hint="default" w:ascii="Symbol" w:hAnsi="Symbol"/>
      </w:rPr>
    </w:lvl>
    <w:lvl w:ilvl="1" w:tplc="04090003">
      <w:start w:val="1"/>
      <w:numFmt w:val="bullet"/>
      <w:lvlText w:val="o"/>
      <w:lvlJc w:val="left"/>
      <w:pPr>
        <w:ind w:left="2210" w:hanging="360"/>
      </w:pPr>
      <w:rPr>
        <w:rFonts w:hint="default" w:ascii="Courier New" w:hAnsi="Courier New" w:cs="Courier New"/>
      </w:rPr>
    </w:lvl>
    <w:lvl w:ilvl="2" w:tplc="04090005" w:tentative="1">
      <w:start w:val="1"/>
      <w:numFmt w:val="bullet"/>
      <w:lvlText w:val=""/>
      <w:lvlJc w:val="left"/>
      <w:pPr>
        <w:ind w:left="2930" w:hanging="360"/>
      </w:pPr>
      <w:rPr>
        <w:rFonts w:hint="default" w:ascii="Wingdings" w:hAnsi="Wingdings"/>
      </w:rPr>
    </w:lvl>
    <w:lvl w:ilvl="3" w:tplc="04090001" w:tentative="1">
      <w:start w:val="1"/>
      <w:numFmt w:val="bullet"/>
      <w:lvlText w:val=""/>
      <w:lvlJc w:val="left"/>
      <w:pPr>
        <w:ind w:left="3650" w:hanging="360"/>
      </w:pPr>
      <w:rPr>
        <w:rFonts w:hint="default" w:ascii="Symbol" w:hAnsi="Symbol"/>
      </w:rPr>
    </w:lvl>
    <w:lvl w:ilvl="4" w:tplc="04090003" w:tentative="1">
      <w:start w:val="1"/>
      <w:numFmt w:val="bullet"/>
      <w:lvlText w:val="o"/>
      <w:lvlJc w:val="left"/>
      <w:pPr>
        <w:ind w:left="4370" w:hanging="360"/>
      </w:pPr>
      <w:rPr>
        <w:rFonts w:hint="default" w:ascii="Courier New" w:hAnsi="Courier New" w:cs="Courier New"/>
      </w:rPr>
    </w:lvl>
    <w:lvl w:ilvl="5" w:tplc="04090005" w:tentative="1">
      <w:start w:val="1"/>
      <w:numFmt w:val="bullet"/>
      <w:lvlText w:val=""/>
      <w:lvlJc w:val="left"/>
      <w:pPr>
        <w:ind w:left="5090" w:hanging="360"/>
      </w:pPr>
      <w:rPr>
        <w:rFonts w:hint="default" w:ascii="Wingdings" w:hAnsi="Wingdings"/>
      </w:rPr>
    </w:lvl>
    <w:lvl w:ilvl="6" w:tplc="04090001" w:tentative="1">
      <w:start w:val="1"/>
      <w:numFmt w:val="bullet"/>
      <w:lvlText w:val=""/>
      <w:lvlJc w:val="left"/>
      <w:pPr>
        <w:ind w:left="5810" w:hanging="360"/>
      </w:pPr>
      <w:rPr>
        <w:rFonts w:hint="default" w:ascii="Symbol" w:hAnsi="Symbol"/>
      </w:rPr>
    </w:lvl>
    <w:lvl w:ilvl="7" w:tplc="04090003" w:tentative="1">
      <w:start w:val="1"/>
      <w:numFmt w:val="bullet"/>
      <w:lvlText w:val="o"/>
      <w:lvlJc w:val="left"/>
      <w:pPr>
        <w:ind w:left="6530" w:hanging="360"/>
      </w:pPr>
      <w:rPr>
        <w:rFonts w:hint="default" w:ascii="Courier New" w:hAnsi="Courier New" w:cs="Courier New"/>
      </w:rPr>
    </w:lvl>
    <w:lvl w:ilvl="8" w:tplc="04090005" w:tentative="1">
      <w:start w:val="1"/>
      <w:numFmt w:val="bullet"/>
      <w:lvlText w:val=""/>
      <w:lvlJc w:val="left"/>
      <w:pPr>
        <w:ind w:left="7250" w:hanging="360"/>
      </w:pPr>
      <w:rPr>
        <w:rFonts w:hint="default" w:ascii="Wingdings" w:hAnsi="Wingdings"/>
      </w:rPr>
    </w:lvl>
  </w:abstractNum>
  <w:abstractNum w:abstractNumId="1" w15:restartNumberingAfterBreak="0">
    <w:nsid w:val="2CF7299D"/>
    <w:multiLevelType w:val="hybridMultilevel"/>
    <w:tmpl w:val="6952EE6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4CFD4EAB"/>
    <w:multiLevelType w:val="hybridMultilevel"/>
    <w:tmpl w:val="83EEC4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A1A2805"/>
    <w:multiLevelType w:val="hybridMultilevel"/>
    <w:tmpl w:val="21A4EDC0"/>
    <w:lvl w:ilvl="0" w:tplc="6B284130">
      <w:start w:val="1"/>
      <w:numFmt w:val="bullet"/>
      <w:lvlText w:val=""/>
      <w:lvlJc w:val="left"/>
      <w:pPr>
        <w:ind w:left="720" w:hanging="360"/>
      </w:pPr>
      <w:rPr>
        <w:rFonts w:hint="default" w:ascii="Symbol" w:hAnsi="Symbol"/>
      </w:rPr>
    </w:lvl>
    <w:lvl w:ilvl="1" w:tplc="191C8696">
      <w:start w:val="1"/>
      <w:numFmt w:val="bullet"/>
      <w:lvlText w:val="o"/>
      <w:lvlJc w:val="left"/>
      <w:pPr>
        <w:ind w:left="1440" w:hanging="360"/>
      </w:pPr>
      <w:rPr>
        <w:rFonts w:hint="default" w:ascii="&quot;Courier New&quot;" w:hAnsi="&quot;Courier New&quot;"/>
      </w:rPr>
    </w:lvl>
    <w:lvl w:ilvl="2" w:tplc="96CC9004">
      <w:start w:val="1"/>
      <w:numFmt w:val="bullet"/>
      <w:lvlText w:val="§"/>
      <w:lvlJc w:val="left"/>
      <w:pPr>
        <w:ind w:left="2160" w:hanging="360"/>
      </w:pPr>
      <w:rPr>
        <w:rFonts w:hint="default" w:ascii="Wingdings" w:hAnsi="Wingdings"/>
      </w:rPr>
    </w:lvl>
    <w:lvl w:ilvl="3" w:tplc="5A6AF5A4">
      <w:start w:val="1"/>
      <w:numFmt w:val="bullet"/>
      <w:lvlText w:val="·"/>
      <w:lvlJc w:val="left"/>
      <w:pPr>
        <w:ind w:left="2880" w:hanging="360"/>
      </w:pPr>
      <w:rPr>
        <w:rFonts w:hint="default" w:ascii="Symbol" w:hAnsi="Symbol"/>
      </w:rPr>
    </w:lvl>
    <w:lvl w:ilvl="4" w:tplc="33DCFF04">
      <w:start w:val="1"/>
      <w:numFmt w:val="bullet"/>
      <w:lvlText w:val="o"/>
      <w:lvlJc w:val="left"/>
      <w:pPr>
        <w:ind w:left="3600" w:hanging="360"/>
      </w:pPr>
      <w:rPr>
        <w:rFonts w:hint="default" w:ascii="&quot;Courier New&quot;" w:hAnsi="&quot;Courier New&quot;"/>
      </w:rPr>
    </w:lvl>
    <w:lvl w:ilvl="5" w:tplc="BF301648">
      <w:start w:val="1"/>
      <w:numFmt w:val="bullet"/>
      <w:lvlText w:val=""/>
      <w:lvlJc w:val="left"/>
      <w:pPr>
        <w:ind w:left="4320" w:hanging="360"/>
      </w:pPr>
      <w:rPr>
        <w:rFonts w:hint="default" w:ascii="Wingdings" w:hAnsi="Wingdings"/>
      </w:rPr>
    </w:lvl>
    <w:lvl w:ilvl="6" w:tplc="112C0792">
      <w:start w:val="1"/>
      <w:numFmt w:val="bullet"/>
      <w:lvlText w:val=""/>
      <w:lvlJc w:val="left"/>
      <w:pPr>
        <w:ind w:left="5040" w:hanging="360"/>
      </w:pPr>
      <w:rPr>
        <w:rFonts w:hint="default" w:ascii="Symbol" w:hAnsi="Symbol"/>
      </w:rPr>
    </w:lvl>
    <w:lvl w:ilvl="7" w:tplc="E138BB6C">
      <w:start w:val="1"/>
      <w:numFmt w:val="bullet"/>
      <w:lvlText w:val="o"/>
      <w:lvlJc w:val="left"/>
      <w:pPr>
        <w:ind w:left="5760" w:hanging="360"/>
      </w:pPr>
      <w:rPr>
        <w:rFonts w:hint="default" w:ascii="Courier New" w:hAnsi="Courier New"/>
      </w:rPr>
    </w:lvl>
    <w:lvl w:ilvl="8" w:tplc="CB702706">
      <w:start w:val="1"/>
      <w:numFmt w:val="bullet"/>
      <w:lvlText w:val=""/>
      <w:lvlJc w:val="left"/>
      <w:pPr>
        <w:ind w:left="6480" w:hanging="360"/>
      </w:pPr>
      <w:rPr>
        <w:rFonts w:hint="default" w:ascii="Wingdings" w:hAnsi="Wingdings"/>
      </w:rPr>
    </w:lvl>
  </w:abstractNum>
  <w:num w:numId="1" w16cid:durableId="1676221642">
    <w:abstractNumId w:val="3"/>
  </w:num>
  <w:num w:numId="2" w16cid:durableId="693532623">
    <w:abstractNumId w:val="0"/>
  </w:num>
  <w:num w:numId="3" w16cid:durableId="461653727">
    <w:abstractNumId w:val="2"/>
  </w:num>
  <w:num w:numId="4" w16cid:durableId="426511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39"/>
    <w:rsid w:val="003C0139"/>
    <w:rsid w:val="2679693E"/>
    <w:rsid w:val="2D549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6EA74"/>
  <w15:chartTrackingRefBased/>
  <w15:docId w15:val="{023B116D-FE74-B344-AFF7-CA3C3554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0139"/>
    <w:rPr>
      <w:rFonts w:ascii="Times New Roman" w:hAnsi="Times New Roman" w:eastAsia="Times New Roman" w:cs="Times New Roman"/>
    </w:rPr>
  </w:style>
  <w:style w:type="paragraph" w:styleId="Heading1">
    <w:name w:val="heading 1"/>
    <w:basedOn w:val="Normal"/>
    <w:next w:val="Normal"/>
    <w:link w:val="Heading1Char"/>
    <w:uiPriority w:val="9"/>
    <w:qFormat/>
    <w:rsid w:val="003C0139"/>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0139"/>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0139"/>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3C0139"/>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3C0139"/>
    <w:rPr>
      <w:rFonts w:asciiTheme="majorHAnsi" w:hAnsiTheme="majorHAnsi" w:eastAsiaTheme="majorEastAsia" w:cstheme="majorBidi"/>
      <w:color w:val="1F3763" w:themeColor="accent1" w:themeShade="7F"/>
    </w:rPr>
  </w:style>
  <w:style w:type="paragraph" w:styleId="ListParagraph">
    <w:name w:val="List Paragraph"/>
    <w:basedOn w:val="Normal"/>
    <w:uiPriority w:val="34"/>
    <w:qFormat/>
    <w:rsid w:val="003C0139"/>
    <w:pPr>
      <w:ind w:left="720"/>
      <w:contextualSpacing/>
    </w:pPr>
  </w:style>
  <w:style w:type="character" w:styleId="Heading1Char" w:customStyle="1">
    <w:name w:val="Heading 1 Char"/>
    <w:basedOn w:val="DefaultParagraphFont"/>
    <w:link w:val="Heading1"/>
    <w:uiPriority w:val="9"/>
    <w:rsid w:val="003C0139"/>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Bridget McNamee</dc:creator>
  <keywords/>
  <dc:description/>
  <lastModifiedBy>Eileen Bellemore</lastModifiedBy>
  <revision>3</revision>
  <dcterms:created xsi:type="dcterms:W3CDTF">2022-09-18T18:19:00.0000000Z</dcterms:created>
  <dcterms:modified xsi:type="dcterms:W3CDTF">2022-09-21T22:56:17.5232027Z</dcterms:modified>
</coreProperties>
</file>